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The Taxpayer Assistance and eXemption (T.A.X.) Act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Layout w:type="fixed"/>
        <w:tblLook w:val="0600"/>
      </w:tblPr>
      <w:tblGrid>
        <w:gridCol w:w="360"/>
        <w:gridCol w:w="9000"/>
        <w:tblGridChange w:id="0">
          <w:tblGrid>
            <w:gridCol w:w="360"/>
            <w:gridCol w:w="90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4.399999999999999" w:type="dxa"/>
              <w:left w:w="14.399999999999999" w:type="dxa"/>
              <w:bottom w:w="14.399999999999999" w:type="dxa"/>
              <w:right w:w="14.399999999999999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335.99999999999994" w:lineRule="auto"/>
              <w:rPr>
                <w:rFonts w:ascii="Calibri" w:cs="Calibri" w:eastAsia="Calibri" w:hAnsi="Calibri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35.99999999999994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mallCaps w:val="1"/>
                <w:sz w:val="24"/>
                <w:szCs w:val="24"/>
                <w:rtl w:val="0"/>
              </w:rPr>
              <w:t xml:space="preserve">BE IT ENACTED BY THE CONGRESS HERE ASSEMBLED THAT: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335.99999999999994" w:lineRule="auto"/>
              <w:ind w:left="144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mallCaps w:val="1"/>
                <w:sz w:val="24"/>
                <w:szCs w:val="24"/>
                <w:rtl w:val="0"/>
              </w:rPr>
              <w:t xml:space="preserve">SECTION 1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</w:t>
              <w:tab/>
              <w:t xml:space="preserve">To exempt tips and overtime earnings from federal income tax, increasing take-home pay for American workers and retirees.</w:t>
            </w:r>
          </w:p>
          <w:p w:rsidR="00000000" w:rsidDel="00000000" w:rsidP="00000000" w:rsidRDefault="00000000" w:rsidRPr="00000000" w14:paraId="00000015">
            <w:pPr>
              <w:spacing w:line="335.99999999999994" w:lineRule="auto"/>
              <w:ind w:left="144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mallCaps w:val="1"/>
                <w:sz w:val="24"/>
                <w:szCs w:val="24"/>
                <w:rtl w:val="0"/>
              </w:rPr>
              <w:t xml:space="preserve">SECTION 2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</w:t>
              <w:tab/>
              <w:t xml:space="preserve">For the purposes of this legislation, the following terms are defined: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335.99999999999994" w:lineRule="auto"/>
              <w:ind w:left="180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“Tips” shall be defined as any income received as gratuities.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335.99999999999994" w:lineRule="auto"/>
              <w:ind w:left="180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“Overtime Earnings” shall be defined as any income received from overtime hours.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335.99999999999994" w:lineRule="auto"/>
              <w:ind w:left="180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”Tip Credit” shall be defined as the practice of counting tips as a portion of wages to meet federal or state minimum wage requirements.</w:t>
            </w:r>
          </w:p>
          <w:p w:rsidR="00000000" w:rsidDel="00000000" w:rsidP="00000000" w:rsidRDefault="00000000" w:rsidRPr="00000000" w14:paraId="00000019">
            <w:pPr>
              <w:spacing w:line="335.99999999999994" w:lineRule="auto"/>
              <w:ind w:left="144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mallCaps w:val="1"/>
                <w:sz w:val="24"/>
                <w:szCs w:val="24"/>
                <w:rtl w:val="0"/>
              </w:rPr>
              <w:t xml:space="preserve">SECTION 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ab/>
              <w:t xml:space="preserve">The Department of Treasury and Internal Revenue Service will be responsible for the implementation of this legislation.defined: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335.99999999999994" w:lineRule="auto"/>
              <w:ind w:left="180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Businesses that utilize tip credits shall be subject to an additional 12% tax.</w:t>
            </w:r>
          </w:p>
          <w:p w:rsidR="00000000" w:rsidDel="00000000" w:rsidP="00000000" w:rsidRDefault="00000000" w:rsidRPr="00000000" w14:paraId="0000001B">
            <w:pPr>
              <w:spacing w:line="335.99999999999994" w:lineRule="auto"/>
              <w:ind w:left="1440" w:firstLine="0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SECTION 4.</w:t>
              <w:tab/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This legislation will take effect on January 1, 2026. All laws in conflict with this legislation are hereby declared null and void.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Introduced for Congressional Debate by Marjory Stoneman Douglas Highschool.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1440" w:firstLine="0"/>
        <w:rPr>
          <w:rFonts w:ascii="Calibri" w:cs="Calibri" w:eastAsia="Calibri" w:hAnsi="Calibri"/>
          <w:i w:val="1"/>
          <w:sz w:val="17"/>
          <w:szCs w:val="17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3225.6000000000004" w:top="504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TYX4JTzAsX5iH+WdahhAjMMUQ==">CgMxLjA4AHIhMTV2eHphalVsdDZUVDNXaUdRN1hUczdCNE9DcjZOdlVr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